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46607B" w14:paraId="37C6A203" w14:textId="77777777" w:rsidTr="004B2321">
        <w:tc>
          <w:tcPr>
            <w:tcW w:w="1560" w:type="dxa"/>
            <w:vAlign w:val="center"/>
          </w:tcPr>
          <w:p w14:paraId="0D5A35A8" w14:textId="01C6D819" w:rsidR="0046607B" w:rsidRPr="009404C2" w:rsidRDefault="0046607B" w:rsidP="00F10883">
            <w:pPr>
              <w:jc w:val="center"/>
              <w:rPr>
                <w:b/>
                <w:bCs/>
              </w:rPr>
            </w:pPr>
            <w:bookmarkStart w:id="0" w:name="_Hlk164940051"/>
            <w:r w:rsidRPr="009404C2">
              <w:rPr>
                <w:b/>
                <w:bCs/>
              </w:rPr>
              <w:t xml:space="preserve">Axe </w:t>
            </w:r>
            <w:r w:rsidR="001A0EE6">
              <w:rPr>
                <w:b/>
                <w:bCs/>
              </w:rPr>
              <w:t>6</w:t>
            </w:r>
          </w:p>
        </w:tc>
        <w:tc>
          <w:tcPr>
            <w:tcW w:w="8505" w:type="dxa"/>
          </w:tcPr>
          <w:p w14:paraId="15E692BF" w14:textId="1FD228B6" w:rsidR="0046607B" w:rsidRDefault="001A0EE6" w:rsidP="001A0E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Partage des pratiques agricoles favorables aux pollinisateurs</w:t>
            </w:r>
          </w:p>
          <w:p w14:paraId="58C92614" w14:textId="1064CA93" w:rsidR="001A0EE6" w:rsidRPr="00721835" w:rsidRDefault="001A0EE6" w:rsidP="001A0E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Rédacteur Région Grand Est</w:t>
            </w:r>
          </w:p>
        </w:tc>
      </w:tr>
      <w:tr w:rsidR="0046607B" w14:paraId="3E974957" w14:textId="77777777" w:rsidTr="004B2321">
        <w:tc>
          <w:tcPr>
            <w:tcW w:w="1560" w:type="dxa"/>
            <w:vAlign w:val="center"/>
          </w:tcPr>
          <w:p w14:paraId="5A421146" w14:textId="3F81717C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Action</w:t>
            </w:r>
            <w:r w:rsidR="001A3575">
              <w:rPr>
                <w:b/>
                <w:bCs/>
              </w:rPr>
              <w:t xml:space="preserve"> </w:t>
            </w:r>
            <w:r w:rsidR="00001C73">
              <w:rPr>
                <w:b/>
                <w:bCs/>
              </w:rPr>
              <w:t>1</w:t>
            </w:r>
          </w:p>
        </w:tc>
        <w:tc>
          <w:tcPr>
            <w:tcW w:w="8505" w:type="dxa"/>
            <w:vAlign w:val="center"/>
          </w:tcPr>
          <w:p w14:paraId="575AF418" w14:textId="25B8B0C4" w:rsidR="0046607B" w:rsidRDefault="001A0EE6" w:rsidP="009069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</w:t>
            </w:r>
            <w:r w:rsidR="00F10883">
              <w:rPr>
                <w:b/>
                <w:bCs/>
              </w:rPr>
              <w:t>er</w:t>
            </w:r>
            <w:r>
              <w:rPr>
                <w:b/>
                <w:bCs/>
              </w:rPr>
              <w:t xml:space="preserve"> et sensibilis</w:t>
            </w:r>
            <w:r w:rsidR="00F10883">
              <w:rPr>
                <w:b/>
                <w:bCs/>
              </w:rPr>
              <w:t>er</w:t>
            </w:r>
            <w:r>
              <w:rPr>
                <w:b/>
                <w:bCs/>
              </w:rPr>
              <w:t xml:space="preserve"> </w:t>
            </w:r>
            <w:r w:rsidR="00F10883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es professionnels de l’agriculture et </w:t>
            </w:r>
            <w:r w:rsidR="00F10883">
              <w:rPr>
                <w:b/>
                <w:bCs/>
              </w:rPr>
              <w:t>l</w:t>
            </w:r>
            <w:r>
              <w:rPr>
                <w:b/>
                <w:bCs/>
              </w:rPr>
              <w:t>es responsables de filières à la mise en place de pratiques vertueuses pour les pollinisateurs</w:t>
            </w:r>
          </w:p>
          <w:p w14:paraId="339D8F82" w14:textId="456C7435" w:rsidR="00033A06" w:rsidRPr="00F10883" w:rsidRDefault="00F10883" w:rsidP="00F10883">
            <w:pPr>
              <w:jc w:val="center"/>
            </w:pPr>
            <w:r w:rsidRPr="00F10883">
              <w:t>- Rédacteur Région Grand Est -</w:t>
            </w:r>
          </w:p>
        </w:tc>
      </w:tr>
      <w:tr w:rsidR="0046607B" w14:paraId="29833F62" w14:textId="77777777" w:rsidTr="004B2321">
        <w:tc>
          <w:tcPr>
            <w:tcW w:w="1560" w:type="dxa"/>
            <w:vAlign w:val="center"/>
          </w:tcPr>
          <w:p w14:paraId="4CE563A6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Priorité</w:t>
            </w:r>
          </w:p>
        </w:tc>
        <w:tc>
          <w:tcPr>
            <w:tcW w:w="8505" w:type="dxa"/>
          </w:tcPr>
          <w:p w14:paraId="172CB75E" w14:textId="30EFAB4D" w:rsidR="008A6952" w:rsidRDefault="008A6952" w:rsidP="00906905">
            <w:r>
              <w:t>1</w:t>
            </w:r>
          </w:p>
        </w:tc>
      </w:tr>
      <w:tr w:rsidR="0046607B" w14:paraId="2D98E5EA" w14:textId="77777777" w:rsidTr="004B2321">
        <w:tc>
          <w:tcPr>
            <w:tcW w:w="1560" w:type="dxa"/>
            <w:vAlign w:val="center"/>
          </w:tcPr>
          <w:p w14:paraId="6920D17E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Objectifs</w:t>
            </w:r>
          </w:p>
        </w:tc>
        <w:tc>
          <w:tcPr>
            <w:tcW w:w="8505" w:type="dxa"/>
          </w:tcPr>
          <w:p w14:paraId="7F1AB78C" w14:textId="05DF4145" w:rsidR="008A6952" w:rsidRPr="008A6952" w:rsidRDefault="008A6952" w:rsidP="00F10883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A6952">
              <w:rPr>
                <w:rFonts w:asciiTheme="minorHAnsi" w:hAnsiTheme="minorHAnsi"/>
                <w:sz w:val="22"/>
                <w:szCs w:val="22"/>
              </w:rPr>
              <w:t>Faire connaître et « intégrer » les enjeux liés à la préservation des pollinisateurs</w:t>
            </w:r>
            <w:r w:rsidR="00F10883">
              <w:rPr>
                <w:rFonts w:asciiTheme="minorHAnsi" w:hAnsiTheme="minorHAnsi"/>
                <w:sz w:val="22"/>
                <w:szCs w:val="22"/>
              </w:rPr>
              <w:t>.</w:t>
            </w:r>
            <w:r w:rsidRPr="008A695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F006AF9" w14:textId="4099CC72" w:rsidR="008A6952" w:rsidRPr="008A6952" w:rsidRDefault="008A6952" w:rsidP="00F10883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A6952">
              <w:rPr>
                <w:rFonts w:asciiTheme="minorHAnsi" w:hAnsiTheme="minorHAnsi"/>
                <w:sz w:val="22"/>
                <w:szCs w:val="22"/>
              </w:rPr>
              <w:t>Favoriser le transfert de connaissance par la mutualisation des expériences et des outils</w:t>
            </w:r>
            <w:r w:rsidR="00F10883">
              <w:rPr>
                <w:rFonts w:asciiTheme="minorHAnsi" w:hAnsiTheme="minorHAnsi"/>
                <w:sz w:val="22"/>
                <w:szCs w:val="22"/>
              </w:rPr>
              <w:t>.</w:t>
            </w:r>
            <w:r w:rsidRPr="008A695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0DA310F" w14:textId="4D85232F" w:rsidR="009404C2" w:rsidRPr="00F10883" w:rsidRDefault="008A6952" w:rsidP="00F10883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A6952">
              <w:rPr>
                <w:rFonts w:asciiTheme="minorHAnsi" w:hAnsiTheme="minorHAnsi"/>
                <w:sz w:val="22"/>
                <w:szCs w:val="22"/>
              </w:rPr>
              <w:t>Former et accompagner les professionnels</w:t>
            </w:r>
            <w:r w:rsidR="00F1088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6607B" w14:paraId="6493FA08" w14:textId="77777777" w:rsidTr="004B2321">
        <w:tc>
          <w:tcPr>
            <w:tcW w:w="1560" w:type="dxa"/>
            <w:vAlign w:val="center"/>
          </w:tcPr>
          <w:p w14:paraId="5DB91733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Calendrier</w:t>
            </w:r>
          </w:p>
        </w:tc>
        <w:tc>
          <w:tcPr>
            <w:tcW w:w="8505" w:type="dxa"/>
          </w:tcPr>
          <w:p w14:paraId="20BBED86" w14:textId="0121A542" w:rsidR="009404C2" w:rsidRDefault="00F10883" w:rsidP="00906905">
            <w:r>
              <w:t>En cours</w:t>
            </w:r>
          </w:p>
        </w:tc>
      </w:tr>
      <w:tr w:rsidR="0046607B" w14:paraId="0FE7E4B4" w14:textId="77777777" w:rsidTr="004B2321">
        <w:tc>
          <w:tcPr>
            <w:tcW w:w="1560" w:type="dxa"/>
            <w:vAlign w:val="center"/>
          </w:tcPr>
          <w:p w14:paraId="1BEBE245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Contexte</w:t>
            </w:r>
          </w:p>
        </w:tc>
        <w:tc>
          <w:tcPr>
            <w:tcW w:w="8505" w:type="dxa"/>
          </w:tcPr>
          <w:p w14:paraId="435430FB" w14:textId="795A10E6" w:rsidR="002526B6" w:rsidRPr="008A6952" w:rsidRDefault="008A6952" w:rsidP="00F10883">
            <w:pPr>
              <w:jc w:val="both"/>
            </w:pPr>
            <w:r w:rsidRPr="008A6952">
              <w:t xml:space="preserve">Les connaissances sur les pollinisateurs (domestiques et sauvages) sont disparates selon les publics et les </w:t>
            </w:r>
            <w:r w:rsidR="00C476B1">
              <w:t>territoires</w:t>
            </w:r>
            <w:r w:rsidRPr="008A6952">
              <w:t>. De la même manière, les actions favorables aux pollinisateurs ne sont pas forcément bien</w:t>
            </w:r>
            <w:r w:rsidR="00C476B1">
              <w:t xml:space="preserve"> connues ou bien mises en </w:t>
            </w:r>
            <w:r w:rsidR="00E84223">
              <w:t>œuvre</w:t>
            </w:r>
            <w:r w:rsidRPr="008A6952">
              <w:t>. Il est donc nécessaire d’accompagner au mieux la mise en œuvre de pratiques par des actions d’information et de formation.</w:t>
            </w:r>
          </w:p>
        </w:tc>
      </w:tr>
      <w:tr w:rsidR="0046607B" w14:paraId="2C672376" w14:textId="77777777" w:rsidTr="004B2321">
        <w:tc>
          <w:tcPr>
            <w:tcW w:w="1560" w:type="dxa"/>
            <w:vAlign w:val="center"/>
          </w:tcPr>
          <w:p w14:paraId="4E3D86DC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Description</w:t>
            </w:r>
          </w:p>
        </w:tc>
        <w:tc>
          <w:tcPr>
            <w:tcW w:w="8505" w:type="dxa"/>
            <w:vAlign w:val="center"/>
          </w:tcPr>
          <w:p w14:paraId="6F3EEFC7" w14:textId="05AAE172" w:rsidR="009C60AC" w:rsidRDefault="009C60AC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Recenser </w:t>
            </w:r>
            <w:r w:rsidRPr="008A6952">
              <w:t>les initiatives locales et les expérimentations en faveur des pollin</w:t>
            </w:r>
            <w:r>
              <w:t>isateurs</w:t>
            </w:r>
            <w:r w:rsidR="002526B6">
              <w:t>, les diffuser et les valoriser</w:t>
            </w:r>
            <w:r w:rsidR="00F10883">
              <w:t> ;</w:t>
            </w:r>
          </w:p>
          <w:p w14:paraId="71205006" w14:textId="05CAE85C" w:rsidR="009C60AC" w:rsidRDefault="106A02CB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>Concevoir et diffuser un catalogue de fiches techniques de prise en compte des pollinisateurs dans les pratiques agricoles, des résultats d’expérimentation et les experts en Région (centre de ressource) ;</w:t>
            </w:r>
          </w:p>
          <w:p w14:paraId="5A6B684B" w14:textId="34416EE6" w:rsidR="009404C2" w:rsidRPr="008A6952" w:rsidRDefault="1F214CF3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>Poursuivre et développer le soutien aux actions de formation, de sensibilisation sur les pollinisateurs mené</w:t>
            </w:r>
            <w:r w:rsidR="00F61D35">
              <w:t>e</w:t>
            </w:r>
            <w:r>
              <w:t>s par le</w:t>
            </w:r>
            <w:r w:rsidR="005F181A">
              <w:t>s</w:t>
            </w:r>
            <w:r>
              <w:t xml:space="preserve"> secteur</w:t>
            </w:r>
            <w:r w:rsidR="005F181A">
              <w:t>s</w:t>
            </w:r>
            <w:r>
              <w:t xml:space="preserve"> apicole</w:t>
            </w:r>
            <w:r w:rsidR="005F181A">
              <w:t xml:space="preserve"> et naturaliste</w:t>
            </w:r>
            <w:r w:rsidR="00F10883">
              <w:t> ;</w:t>
            </w:r>
          </w:p>
          <w:p w14:paraId="02D0795F" w14:textId="73ACC1E5" w:rsidR="008A6952" w:rsidRDefault="008A6952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 w:rsidRPr="008A6952">
              <w:t xml:space="preserve">Intégrer la prise en compte des pollinisateurs dans les formations </w:t>
            </w:r>
            <w:r w:rsidR="009C60AC">
              <w:t>MAE</w:t>
            </w:r>
            <w:r w:rsidR="00F53E25">
              <w:t>C</w:t>
            </w:r>
            <w:r w:rsidR="009C60AC">
              <w:t>, autres dispositifs nationaux et régionaux et professionnels agricoles (</w:t>
            </w:r>
            <w:r w:rsidR="00E84223">
              <w:t>diagnostics initiaux</w:t>
            </w:r>
            <w:r w:rsidR="009C60AC">
              <w:t xml:space="preserve">, implantation et gestion des </w:t>
            </w:r>
            <w:r w:rsidR="009C60AC" w:rsidRPr="008A6952">
              <w:t>infrastructures</w:t>
            </w:r>
            <w:r w:rsidRPr="008A6952">
              <w:t xml:space="preserve"> </w:t>
            </w:r>
            <w:r w:rsidR="00E84223" w:rsidRPr="008A6952">
              <w:t>agroécologiques</w:t>
            </w:r>
            <w:r w:rsidR="009C60AC">
              <w:t>...)</w:t>
            </w:r>
            <w:r w:rsidR="00F10883">
              <w:t> ;</w:t>
            </w:r>
          </w:p>
          <w:p w14:paraId="49DAC75D" w14:textId="736DC5B9" w:rsidR="009C60AC" w:rsidRDefault="1F214CF3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>Poursuivre la prise en compte des enjeux relatifs aux pollinisateurs dans le soutien aux actions d’éducation à l’environnement</w:t>
            </w:r>
            <w:r w:rsidR="0023050B">
              <w:t xml:space="preserve"> (formation dans les lycées agricoles) ;</w:t>
            </w:r>
          </w:p>
          <w:p w14:paraId="00FB5097" w14:textId="369B9057" w:rsidR="009C60AC" w:rsidRPr="009C60AC" w:rsidRDefault="009C60AC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 w:rsidRPr="009C60AC">
              <w:t>Recenser et valoriser les outils de communication existants en Grand Est</w:t>
            </w:r>
            <w:r w:rsidR="0023050B">
              <w:t> ;</w:t>
            </w:r>
          </w:p>
          <w:p w14:paraId="5892F496" w14:textId="6CEA1FC3" w:rsidR="008A6952" w:rsidRDefault="106A02CB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>Déployer des actions de promotion des essences mellifères et du végétal local par public cible (agriculteurs, collectivités, particuliers, prescripteurs…) ;</w:t>
            </w:r>
          </w:p>
          <w:p w14:paraId="10E14029" w14:textId="33F47460" w:rsidR="0046607B" w:rsidRPr="008A6952" w:rsidRDefault="106A02CB" w:rsidP="0023050B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>Elaborer des journées techniques d’échanges, des webinaires sur les actions favorables aux pollinisateurs (ressource alimentaire et pratiques agricoles).</w:t>
            </w:r>
          </w:p>
        </w:tc>
      </w:tr>
      <w:tr w:rsidR="0046607B" w14:paraId="31A64B77" w14:textId="77777777" w:rsidTr="004B2321">
        <w:tc>
          <w:tcPr>
            <w:tcW w:w="1560" w:type="dxa"/>
            <w:vAlign w:val="center"/>
          </w:tcPr>
          <w:p w14:paraId="0BC8330C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Action(s) associée(s)</w:t>
            </w:r>
          </w:p>
        </w:tc>
        <w:tc>
          <w:tcPr>
            <w:tcW w:w="8505" w:type="dxa"/>
            <w:vAlign w:val="center"/>
          </w:tcPr>
          <w:p w14:paraId="1A5B0A49" w14:textId="3D56D1FB" w:rsidR="00ED0BBD" w:rsidRPr="0023050B" w:rsidRDefault="0023050B" w:rsidP="005F181A">
            <w:pPr>
              <w:rPr>
                <w:b/>
                <w:bCs/>
              </w:rPr>
            </w:pPr>
            <w:r>
              <w:rPr>
                <w:b/>
                <w:bCs/>
              </w:rPr>
              <w:t>Axe 6 – action 2</w:t>
            </w:r>
          </w:p>
        </w:tc>
      </w:tr>
      <w:tr w:rsidR="0046607B" w14:paraId="1A7A76D2" w14:textId="77777777" w:rsidTr="004B2321">
        <w:tc>
          <w:tcPr>
            <w:tcW w:w="1560" w:type="dxa"/>
            <w:vAlign w:val="center"/>
          </w:tcPr>
          <w:p w14:paraId="53A9EFDE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Indicateurs de résultats</w:t>
            </w:r>
          </w:p>
        </w:tc>
        <w:tc>
          <w:tcPr>
            <w:tcW w:w="8505" w:type="dxa"/>
          </w:tcPr>
          <w:p w14:paraId="3588025F" w14:textId="2AA12D67" w:rsidR="009404C2" w:rsidRDefault="009C60AC" w:rsidP="0023050B">
            <w:pPr>
              <w:pStyle w:val="Paragraphedeliste"/>
              <w:numPr>
                <w:ilvl w:val="0"/>
                <w:numId w:val="5"/>
              </w:numPr>
            </w:pPr>
            <w:r>
              <w:t xml:space="preserve">Nombre </w:t>
            </w:r>
            <w:r w:rsidR="000179A7">
              <w:t xml:space="preserve">de formations / journées techniques réalisées </w:t>
            </w:r>
            <w:r w:rsidR="0023050B">
              <w:t xml:space="preserve">par </w:t>
            </w:r>
            <w:r w:rsidR="000179A7">
              <w:t>an</w:t>
            </w:r>
          </w:p>
          <w:p w14:paraId="562020AF" w14:textId="0F31A14A" w:rsidR="009C60AC" w:rsidRDefault="000179A7" w:rsidP="0023050B">
            <w:pPr>
              <w:pStyle w:val="Paragraphedeliste"/>
              <w:numPr>
                <w:ilvl w:val="0"/>
                <w:numId w:val="5"/>
              </w:numPr>
            </w:pPr>
            <w:r>
              <w:t xml:space="preserve">Nombre de personnes formées / sensibilisées </w:t>
            </w:r>
            <w:r w:rsidR="0023050B">
              <w:t>par</w:t>
            </w:r>
            <w:r>
              <w:t xml:space="preserve"> an</w:t>
            </w:r>
          </w:p>
          <w:p w14:paraId="4B0BB062" w14:textId="19FE6E34" w:rsidR="009404C2" w:rsidRDefault="000179A7" w:rsidP="0023050B">
            <w:pPr>
              <w:pStyle w:val="Paragraphedeliste"/>
              <w:numPr>
                <w:ilvl w:val="0"/>
                <w:numId w:val="5"/>
              </w:numPr>
            </w:pPr>
            <w:r>
              <w:t>Nombre de fiches techniques réalisées</w:t>
            </w:r>
          </w:p>
        </w:tc>
      </w:tr>
      <w:tr w:rsidR="0046607B" w14:paraId="7A25EBB5" w14:textId="77777777" w:rsidTr="004B2321">
        <w:tc>
          <w:tcPr>
            <w:tcW w:w="1560" w:type="dxa"/>
            <w:vAlign w:val="center"/>
          </w:tcPr>
          <w:p w14:paraId="672D1A3F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Echelle(s) de travail</w:t>
            </w:r>
          </w:p>
        </w:tc>
        <w:tc>
          <w:tcPr>
            <w:tcW w:w="8505" w:type="dxa"/>
            <w:vAlign w:val="center"/>
          </w:tcPr>
          <w:p w14:paraId="4854D96C" w14:textId="3445E286" w:rsidR="009404C2" w:rsidRDefault="0023050B" w:rsidP="0023050B">
            <w:r>
              <w:t>Grand Est</w:t>
            </w:r>
          </w:p>
        </w:tc>
      </w:tr>
      <w:tr w:rsidR="0046607B" w14:paraId="14536EE1" w14:textId="77777777" w:rsidTr="004B2321">
        <w:tc>
          <w:tcPr>
            <w:tcW w:w="1560" w:type="dxa"/>
            <w:vAlign w:val="center"/>
          </w:tcPr>
          <w:p w14:paraId="1BD0790A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Evaluation financière</w:t>
            </w:r>
          </w:p>
        </w:tc>
        <w:tc>
          <w:tcPr>
            <w:tcW w:w="8505" w:type="dxa"/>
            <w:vAlign w:val="center"/>
          </w:tcPr>
          <w:p w14:paraId="27C038E5" w14:textId="2B4F5F38" w:rsidR="009404C2" w:rsidRDefault="002742FE" w:rsidP="0023050B">
            <w:r>
              <w:t>27 000</w:t>
            </w:r>
            <w:r w:rsidR="003664E6">
              <w:t>€</w:t>
            </w:r>
            <w:r>
              <w:t xml:space="preserve"> et 37 000</w:t>
            </w:r>
            <w:r w:rsidR="003664E6">
              <w:t>€</w:t>
            </w:r>
            <w:r>
              <w:t xml:space="preserve"> par an pour un 0.5 ETP</w:t>
            </w:r>
          </w:p>
        </w:tc>
      </w:tr>
      <w:tr w:rsidR="0046607B" w14:paraId="6294C436" w14:textId="77777777" w:rsidTr="004B2321">
        <w:tc>
          <w:tcPr>
            <w:tcW w:w="1560" w:type="dxa"/>
            <w:vAlign w:val="center"/>
          </w:tcPr>
          <w:p w14:paraId="5FD15E5D" w14:textId="77777777" w:rsidR="0046607B" w:rsidRPr="009404C2" w:rsidRDefault="0046607B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Pilote(s) de l’action</w:t>
            </w:r>
          </w:p>
        </w:tc>
        <w:tc>
          <w:tcPr>
            <w:tcW w:w="8505" w:type="dxa"/>
            <w:vAlign w:val="center"/>
          </w:tcPr>
          <w:p w14:paraId="7E1E1190" w14:textId="3808DFA4" w:rsidR="009404C2" w:rsidRDefault="0084551A" w:rsidP="0023050B">
            <w:r>
              <w:t>Réseau d</w:t>
            </w:r>
            <w:r w:rsidR="007E48F1">
              <w:t>es Chambres d’Agriculture du Grand Est</w:t>
            </w:r>
          </w:p>
        </w:tc>
      </w:tr>
      <w:bookmarkEnd w:id="0"/>
      <w:tr w:rsidR="002526B6" w14:paraId="13899011" w14:textId="77777777" w:rsidTr="004B2321">
        <w:tc>
          <w:tcPr>
            <w:tcW w:w="1560" w:type="dxa"/>
            <w:vAlign w:val="center"/>
          </w:tcPr>
          <w:p w14:paraId="361649C2" w14:textId="77777777" w:rsidR="002526B6" w:rsidRPr="009404C2" w:rsidRDefault="002526B6" w:rsidP="00F10883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Partenaires potentiels</w:t>
            </w:r>
          </w:p>
        </w:tc>
        <w:tc>
          <w:tcPr>
            <w:tcW w:w="8505" w:type="dxa"/>
            <w:vAlign w:val="center"/>
          </w:tcPr>
          <w:p w14:paraId="1018693A" w14:textId="5D74BF6B" w:rsidR="0023050B" w:rsidRDefault="0023050B" w:rsidP="0023050B">
            <w:r>
              <w:t xml:space="preserve">Région Grand Est, </w:t>
            </w:r>
            <w:r w:rsidR="0048008A">
              <w:t xml:space="preserve">DRAAF, </w:t>
            </w:r>
            <w:r>
              <w:t>RBA, coopératives agricoles, instituts techniques,</w:t>
            </w:r>
            <w:r w:rsidR="003B4E2D">
              <w:t xml:space="preserve"> Symbiose</w:t>
            </w:r>
            <w:r w:rsidR="00385E06">
              <w:t>, ADA GE</w:t>
            </w:r>
          </w:p>
        </w:tc>
      </w:tr>
    </w:tbl>
    <w:p w14:paraId="7350EC73" w14:textId="50D67DE2" w:rsidR="002526B6" w:rsidRDefault="002526B6" w:rsidP="009404C2"/>
    <w:p w14:paraId="75CBFB49" w14:textId="51ADC10A" w:rsidR="006D6284" w:rsidRDefault="006D6284" w:rsidP="006D6284"/>
    <w:p w14:paraId="4FF9625D" w14:textId="77777777" w:rsidR="006D6284" w:rsidRDefault="006D6284" w:rsidP="00BC2B7D"/>
    <w:sectPr w:rsidR="006D6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8430A"/>
    <w:multiLevelType w:val="hybridMultilevel"/>
    <w:tmpl w:val="A86A90FE"/>
    <w:lvl w:ilvl="0" w:tplc="DDF0CE6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86962"/>
    <w:multiLevelType w:val="hybridMultilevel"/>
    <w:tmpl w:val="F800A2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B7804"/>
    <w:multiLevelType w:val="hybridMultilevel"/>
    <w:tmpl w:val="93C093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5542AC"/>
    <w:multiLevelType w:val="hybridMultilevel"/>
    <w:tmpl w:val="0F1264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595A76"/>
    <w:multiLevelType w:val="hybridMultilevel"/>
    <w:tmpl w:val="54A84A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58762">
    <w:abstractNumId w:val="1"/>
  </w:num>
  <w:num w:numId="2" w16cid:durableId="949241035">
    <w:abstractNumId w:val="0"/>
  </w:num>
  <w:num w:numId="3" w16cid:durableId="1195311105">
    <w:abstractNumId w:val="3"/>
  </w:num>
  <w:num w:numId="4" w16cid:durableId="832454983">
    <w:abstractNumId w:val="4"/>
  </w:num>
  <w:num w:numId="5" w16cid:durableId="912735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979"/>
    <w:rsid w:val="00001C73"/>
    <w:rsid w:val="000179A7"/>
    <w:rsid w:val="00033A06"/>
    <w:rsid w:val="000C75CA"/>
    <w:rsid w:val="001A0EE6"/>
    <w:rsid w:val="001A3575"/>
    <w:rsid w:val="001E383E"/>
    <w:rsid w:val="0023050B"/>
    <w:rsid w:val="002332CE"/>
    <w:rsid w:val="002526B6"/>
    <w:rsid w:val="002742FE"/>
    <w:rsid w:val="002E4858"/>
    <w:rsid w:val="0034706A"/>
    <w:rsid w:val="00360C05"/>
    <w:rsid w:val="003664E6"/>
    <w:rsid w:val="00385E06"/>
    <w:rsid w:val="003B4E2D"/>
    <w:rsid w:val="00417896"/>
    <w:rsid w:val="00436FF5"/>
    <w:rsid w:val="0046607B"/>
    <w:rsid w:val="0048008A"/>
    <w:rsid w:val="004B2321"/>
    <w:rsid w:val="00587AF6"/>
    <w:rsid w:val="005F181A"/>
    <w:rsid w:val="00611CA4"/>
    <w:rsid w:val="00621C6D"/>
    <w:rsid w:val="00681DB1"/>
    <w:rsid w:val="006A0E86"/>
    <w:rsid w:val="006C1289"/>
    <w:rsid w:val="006D6284"/>
    <w:rsid w:val="007B280C"/>
    <w:rsid w:val="007E48F1"/>
    <w:rsid w:val="0084551A"/>
    <w:rsid w:val="008A6952"/>
    <w:rsid w:val="008F0989"/>
    <w:rsid w:val="009404C2"/>
    <w:rsid w:val="009C60AC"/>
    <w:rsid w:val="009E73EB"/>
    <w:rsid w:val="009F0979"/>
    <w:rsid w:val="00B3571E"/>
    <w:rsid w:val="00BC2B7D"/>
    <w:rsid w:val="00C476B1"/>
    <w:rsid w:val="00D177E4"/>
    <w:rsid w:val="00DF53F2"/>
    <w:rsid w:val="00E84223"/>
    <w:rsid w:val="00ED0BBD"/>
    <w:rsid w:val="00F10883"/>
    <w:rsid w:val="00F53E25"/>
    <w:rsid w:val="00F61D35"/>
    <w:rsid w:val="00F805B9"/>
    <w:rsid w:val="00FA5E51"/>
    <w:rsid w:val="00FD7505"/>
    <w:rsid w:val="106A02CB"/>
    <w:rsid w:val="1F21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6DC5"/>
  <w15:chartTrackingRefBased/>
  <w15:docId w15:val="{BE3B260F-3414-47F0-BE9A-F778E218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07B"/>
  </w:style>
  <w:style w:type="paragraph" w:styleId="Titre1">
    <w:name w:val="heading 1"/>
    <w:basedOn w:val="Normal"/>
    <w:next w:val="Normal"/>
    <w:link w:val="Titre1Car"/>
    <w:uiPriority w:val="9"/>
    <w:qFormat/>
    <w:rsid w:val="009F0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0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0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0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0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0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0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0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0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0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0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0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097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097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09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09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09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09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0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0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0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0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0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09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09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09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0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097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097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6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1C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hgkelc">
    <w:name w:val="hgkelc"/>
    <w:basedOn w:val="Policepardfaut"/>
    <w:rsid w:val="002526B6"/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2332CE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61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1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CROMBECQUE</dc:creator>
  <cp:keywords/>
  <dc:description/>
  <cp:lastModifiedBy>Mélanie CROMBECQUE</cp:lastModifiedBy>
  <cp:revision>24</cp:revision>
  <dcterms:created xsi:type="dcterms:W3CDTF">2024-06-27T10:06:00Z</dcterms:created>
  <dcterms:modified xsi:type="dcterms:W3CDTF">2024-09-20T11:43:00Z</dcterms:modified>
</cp:coreProperties>
</file>